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Fonts w:ascii="Roboto Thin" w:cs="Roboto Thin" w:eastAsia="Roboto Thin" w:hAnsi="Roboto Thin"/>
          <w:sz w:val="52"/>
          <w:szCs w:val="52"/>
        </w:rPr>
        <w:drawing>
          <wp:inline distB="114300" distT="114300" distL="114300" distR="114300">
            <wp:extent cx="1340286" cy="955813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0286" cy="95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72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Fonts w:ascii="Roboto Thin" w:cs="Roboto Thin" w:eastAsia="Roboto Thin" w:hAnsi="Roboto Thin"/>
          <w:sz w:val="52"/>
          <w:szCs w:val="52"/>
          <w:rtl w:val="0"/>
        </w:rPr>
        <w:t xml:space="preserve">Audit </w:t>
      </w:r>
      <w:r w:rsidDel="00000000" w:rsidR="00000000" w:rsidRPr="00000000">
        <w:rPr>
          <w:rFonts w:ascii="Roboto Thin" w:cs="Roboto Thin" w:eastAsia="Roboto Thin" w:hAnsi="Roboto Thin"/>
          <w:sz w:val="52"/>
          <w:szCs w:val="52"/>
          <w:rtl w:val="0"/>
        </w:rPr>
        <w:t xml:space="preserve">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72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Fonts w:ascii="Roboto Thin" w:cs="Roboto Thin" w:eastAsia="Roboto Thin" w:hAnsi="Roboto Thin"/>
          <w:sz w:val="40"/>
          <w:szCs w:val="40"/>
          <w:rtl w:val="0"/>
        </w:rPr>
        <w:t xml:space="preserve">Terms of Reference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>
          <w:rFonts w:ascii="Roboto Thin" w:cs="Roboto Thin" w:eastAsia="Roboto Thin" w:hAnsi="Roboto Thin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Thin" w:cs="Roboto Thin" w:eastAsia="Roboto Thin" w:hAnsi="Roboto Thin"/>
          <w:sz w:val="52"/>
          <w:szCs w:val="52"/>
        </w:rPr>
      </w:pPr>
      <w:bookmarkStart w:colFirst="0" w:colLast="0" w:name="_my4lvzvdgah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Thin" w:cs="Roboto Thin" w:eastAsia="Roboto Thin" w:hAnsi="Roboto Thin"/>
          <w:sz w:val="52"/>
          <w:szCs w:val="52"/>
        </w:rPr>
      </w:pPr>
      <w:bookmarkStart w:colFirst="0" w:colLast="0" w:name="_n5mnshwvxc3y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cn25bay7cl5o" w:id="2"/>
      <w:bookmarkEnd w:id="2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following Terms of Reference shall be reviewed and determined from every three years by the Triathlon Ireland Board in consultation with the Audit Committee.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jgtduktwf7q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b w:val="1"/>
          <w:sz w:val="28"/>
          <w:szCs w:val="28"/>
        </w:rPr>
      </w:pPr>
      <w:bookmarkStart w:colFirst="0" w:colLast="0" w:name="_9calfisxt0ly" w:id="4"/>
      <w:bookmarkEnd w:id="4"/>
      <w:r w:rsidDel="00000000" w:rsidR="00000000" w:rsidRPr="00000000">
        <w:rPr>
          <w:rFonts w:ascii="Roboto Light" w:cs="Roboto Light" w:eastAsia="Roboto Light" w:hAnsi="Roboto Light"/>
          <w:sz w:val="28"/>
          <w:szCs w:val="28"/>
          <w:rtl w:val="0"/>
        </w:rPr>
        <w:t xml:space="preserve">Roles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jc w:val="both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</w:t>
      </w:r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 Audit Committee is primarily responsible for overseeing Triathlon Ireland’s operational and financial risks, including accounting practices, financial reporting, audit processes, and regulatory compliance.</w:t>
      </w:r>
    </w:p>
    <w:p w:rsidR="00000000" w:rsidDel="00000000" w:rsidP="00000000" w:rsidRDefault="00000000" w:rsidRPr="00000000" w14:paraId="00000016">
      <w:pPr>
        <w:widowControl w:val="0"/>
        <w:spacing w:after="240" w:before="240" w:lineRule="auto"/>
        <w:jc w:val="both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To fulfil its role, the Committee will: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Review and recommend the annual financial statements for Board approval, with particular focus on accounting policies and going concern assumptions.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 Light" w:cs="Roboto Light" w:eastAsia="Roboto Light" w:hAnsi="Roboto Light"/>
        </w:rPr>
      </w:pPr>
      <w:bookmarkStart w:colFirst="0" w:colLast="0" w:name="_e7ej2zwvhjvy" w:id="6"/>
      <w:bookmarkEnd w:id="6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Oversee internal controls and Triathlon Ireland’s risk management systems.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Monitor the effectiveness of the internal audit function.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Assess the independence and performance of the external auditors and the audit process.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Ensure confidential reporting mechanisms are in place for staff to raise concerns about financial reporting or other improprieties, and that independent investigation and follow-up actions are provided where necessary.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jc w:val="both"/>
        <w:rPr>
          <w:rFonts w:ascii="Roboto Light" w:cs="Roboto Light" w:eastAsia="Roboto Light" w:hAnsi="Roboto Light"/>
        </w:rPr>
      </w:pPr>
      <w:bookmarkStart w:colFirst="0" w:colLast="0" w:name="_v6f8btkxk505" w:id="5"/>
      <w:bookmarkEnd w:id="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will report all significant audit or operational issues arising from its work to the Board of Directors.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sz w:val="28"/>
          <w:szCs w:val="28"/>
        </w:rPr>
      </w:pPr>
      <w:bookmarkStart w:colFirst="0" w:colLast="0" w:name="_ymeplwk47hnc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g61o98qn1hxm" w:id="8"/>
      <w:bookmarkEnd w:id="8"/>
      <w:r w:rsidDel="00000000" w:rsidR="00000000" w:rsidRPr="00000000">
        <w:rPr>
          <w:rFonts w:ascii="Roboto Light" w:cs="Roboto Light" w:eastAsia="Roboto Light" w:hAnsi="Roboto Light"/>
          <w:sz w:val="28"/>
          <w:szCs w:val="28"/>
          <w:rtl w:val="0"/>
        </w:rPr>
        <w:t xml:space="preserve">Composition/Appointment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72841w9pjmwj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3ervloiuouic" w:id="10"/>
      <w:bookmarkEnd w:id="10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should be composed of a minimum of 3 and a maximum of 5 members, and must include a gender balance, with at least two members of each gender wherever possible.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u w:val="none"/>
        </w:rPr>
      </w:pPr>
      <w:bookmarkStart w:colFirst="0" w:colLast="0" w:name="_py1mjj6yw1we" w:id="11"/>
      <w:bookmarkEnd w:id="11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TI Finance Director will be Chair of the Audit Committee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Roboto Light" w:cs="Roboto Light" w:eastAsia="Roboto Light" w:hAnsi="Roboto Light"/>
          <w:u w:val="none"/>
        </w:rPr>
      </w:pPr>
      <w:bookmarkStart w:colFirst="0" w:colLast="0" w:name="_332xc5vg39cb" w:id="12"/>
      <w:bookmarkEnd w:id="12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All members must possess the appropriate skills, experience, and knowledge relevant to the Committee’s purpose. The Board will appoint members of this Committee with appropriate </w:t>
      </w:r>
      <w:r w:rsidDel="00000000" w:rsidR="00000000" w:rsidRPr="00000000">
        <w:rPr>
          <w:rFonts w:ascii="Roboto Light" w:cs="Roboto Light" w:eastAsia="Roboto Light" w:hAnsi="Roboto Light"/>
          <w:highlight w:val="yellow"/>
          <w:rtl w:val="0"/>
        </w:rPr>
        <w:t xml:space="preserve">finance expertise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fvuljalb3o2q" w:id="13"/>
      <w:bookmarkEnd w:id="13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At least one person and no more than two people appointed by the Board shall be independent of the Organisation and have appropriate governance and Board level expertise.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21lh4l68ywu" w:id="14"/>
      <w:bookmarkEnd w:id="14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New members of the Committee shall engage in an Induction Process involving the Chair and member of the Executive.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Roboto Light" w:cs="Roboto Light" w:eastAsia="Roboto Light" w:hAnsi="Roboto Light"/>
        </w:rPr>
      </w:pPr>
      <w:bookmarkStart w:colFirst="0" w:colLast="0" w:name="_pvj0phhruhw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Roboto Light" w:cs="Roboto Light" w:eastAsia="Roboto Light" w:hAnsi="Roboto Light"/>
        </w:rPr>
      </w:pPr>
      <w:bookmarkStart w:colFirst="0" w:colLast="0" w:name="_6l87t29gt4vs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both"/>
        <w:rPr>
          <w:rFonts w:ascii="Roboto Light" w:cs="Roboto Light" w:eastAsia="Roboto Light" w:hAnsi="Roboto Light"/>
        </w:rPr>
      </w:pPr>
      <w:bookmarkStart w:colFirst="0" w:colLast="0" w:name="_p4e42hms5c9t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svy11t3ka51k" w:id="18"/>
      <w:bookmarkEnd w:id="18"/>
      <w:r w:rsidDel="00000000" w:rsidR="00000000" w:rsidRPr="00000000">
        <w:rPr>
          <w:rFonts w:ascii="Roboto Light" w:cs="Roboto Light" w:eastAsia="Roboto Light" w:hAnsi="Roboto Light"/>
          <w:sz w:val="28"/>
          <w:szCs w:val="28"/>
          <w:rtl w:val="0"/>
        </w:rPr>
        <w:t xml:space="preserve">Powers/Authority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t5eiyt9z4zpg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3vc4oy4h4mq2" w:id="20"/>
      <w:bookmarkEnd w:id="20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will have full access to all information necessary to undertake its duties.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lepqr5392n47" w:id="21"/>
      <w:bookmarkEnd w:id="21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has the power to obtain outside professional advice and, if necessary, to invite outsiders with relevant experience to attend meetings.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umds8xrswkl" w:id="22"/>
      <w:bookmarkEnd w:id="22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Members of the Committee will serve for a maximum of two (2) terms of two (4) years. Should a vacancy arise on the Committee then the Board shall appoint a qualified person.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16rfsxftt106" w:id="23"/>
      <w:bookmarkEnd w:id="23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shall make proposals or recommendations to the Board. The Board will consider recommendations and make a decision.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928gi2ak9wz" w:id="24"/>
      <w:bookmarkEnd w:id="2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sz w:val="28"/>
          <w:szCs w:val="28"/>
        </w:rPr>
      </w:pPr>
      <w:bookmarkStart w:colFirst="0" w:colLast="0" w:name="_rj3xrg2ydf9o" w:id="25"/>
      <w:bookmarkEnd w:id="25"/>
      <w:r w:rsidDel="00000000" w:rsidR="00000000" w:rsidRPr="00000000">
        <w:rPr>
          <w:rFonts w:ascii="Roboto Light" w:cs="Roboto Light" w:eastAsia="Roboto Light" w:hAnsi="Roboto Light"/>
          <w:sz w:val="28"/>
          <w:szCs w:val="28"/>
          <w:rtl w:val="0"/>
        </w:rPr>
        <w:t xml:space="preserve">Reporting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  <w:sz w:val="28"/>
          <w:szCs w:val="28"/>
        </w:rPr>
      </w:pPr>
      <w:bookmarkStart w:colFirst="0" w:colLast="0" w:name="_7hsf2z9gd26c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p6u25yqvq4p8" w:id="27"/>
      <w:bookmarkEnd w:id="27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Chair of the Committee will provide a report to the Board following each meeting.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uiw8mw8h42rv" w:id="28"/>
      <w:bookmarkEnd w:id="28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Board’s Annual Report will include a section outlining the role and activities taken by the Committee to fulfil its actions during the year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lafwiwryilvs" w:id="29"/>
      <w:bookmarkEnd w:id="29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A summary of Committee meeting minutes should be available on the Triathlon Ireland website.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n0u3n3w9xp0l" w:id="30"/>
      <w:bookmarkEnd w:id="3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6pbii8r64o41" w:id="31"/>
      <w:bookmarkEnd w:id="31"/>
      <w:r w:rsidDel="00000000" w:rsidR="00000000" w:rsidRPr="00000000">
        <w:rPr>
          <w:rFonts w:ascii="Roboto Light" w:cs="Roboto Light" w:eastAsia="Roboto Light" w:hAnsi="Roboto Light"/>
          <w:sz w:val="28"/>
          <w:szCs w:val="28"/>
          <w:rtl w:val="0"/>
        </w:rPr>
        <w:t xml:space="preserve"> Procedures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ojzectfct6u0" w:id="32"/>
      <w:bookmarkEnd w:id="3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iri7vo8rptua" w:id="33"/>
      <w:bookmarkEnd w:id="33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will report to the Board following each meeting through the minutes of the meeting being circulated as part of the Board pack.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nqaeks99v26h" w:id="34"/>
      <w:bookmarkEnd w:id="34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should meet at least quarterly (4 times a year) and engage via email and phone conferences where required. Otherwise, it shall regulate its own procedures.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targ5i9pcxux" w:id="35"/>
      <w:bookmarkEnd w:id="35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Committee’s role is advisory rather than supervisory in nature.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Lexend Deca" w:cs="Lexend Deca" w:eastAsia="Lexend Deca" w:hAnsi="Lexend Deca"/>
        </w:rPr>
      </w:pPr>
      <w:bookmarkStart w:colFirst="0" w:colLast="0" w:name="_4kccllm58gu9" w:id="36"/>
      <w:bookmarkEnd w:id="36"/>
      <w:r w:rsidDel="00000000" w:rsidR="00000000" w:rsidRPr="00000000">
        <w:rPr>
          <w:rFonts w:ascii="Roboto Light" w:cs="Roboto Light" w:eastAsia="Roboto Light" w:hAnsi="Roboto Light"/>
          <w:rtl w:val="0"/>
        </w:rPr>
        <w:t xml:space="preserve">The Committee will receive formal executive support through the CEO (or nominated  representative(s).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Roboto Light" w:cs="Roboto Light" w:eastAsia="Roboto Light" w:hAnsi="Roboto Light"/>
        </w:rPr>
      </w:pPr>
      <w:bookmarkStart w:colFirst="0" w:colLast="0" w:name="_efnm90f20bsv" w:id="37"/>
      <w:bookmarkEnd w:id="37"/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Thi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ono Extra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  <w:font w:name="Lexend Deca">
    <w:embedRegular w:fontKey="{00000000-0000-0000-0000-000000000000}" r:id="rId13" w:subsetted="0"/>
    <w:embedBold w:fontKey="{00000000-0000-0000-0000-000000000000}" r:id="rId1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rPr>
        <w:rFonts w:ascii="Roboto Mono ExtraLight" w:cs="Roboto Mono ExtraLight" w:eastAsia="Roboto Mono ExtraLight" w:hAnsi="Roboto Mono ExtraLight"/>
        <w:sz w:val="18"/>
        <w:szCs w:val="18"/>
      </w:rPr>
    </w:pPr>
    <w:r w:rsidDel="00000000" w:rsidR="00000000" w:rsidRPr="00000000">
      <w:rPr>
        <w:rFonts w:ascii="Roboto Mono ExtraLight" w:cs="Roboto Mono ExtraLight" w:eastAsia="Roboto Mono ExtraLight" w:hAnsi="Roboto Mono ExtraLight"/>
        <w:sz w:val="18"/>
        <w:szCs w:val="18"/>
        <w:rtl w:val="0"/>
      </w:rPr>
      <w:t xml:space="preserve">Audit Committee TOR, May 2025</w:t>
      <w:tab/>
      <w:tab/>
      <w:tab/>
      <w:tab/>
      <w:tab/>
      <w:tab/>
      <w:tab/>
    </w:r>
    <w:r w:rsidDel="00000000" w:rsidR="00000000" w:rsidRPr="00000000">
      <w:rPr>
        <w:rFonts w:ascii="Roboto Mono ExtraLight" w:cs="Roboto Mono ExtraLight" w:eastAsia="Roboto Mono ExtraLight" w:hAnsi="Roboto Mono ExtraLight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rPr>
        <w:rFonts w:ascii="Roboto Light" w:cs="Roboto Light" w:eastAsia="Roboto Light" w:hAnsi="Roboto Light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rPr>
        <w:rFonts w:ascii="Roboto Light" w:cs="Roboto Light" w:eastAsia="Roboto Light" w:hAnsi="Roboto Light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0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3" Type="http://schemas.openxmlformats.org/officeDocument/2006/relationships/font" Target="fonts/LexendDeca-regular.ttf"/><Relationship Id="rId12" Type="http://schemas.openxmlformats.org/officeDocument/2006/relationships/font" Target="fonts/RobotoLight-boldItalic.ttf"/><Relationship Id="rId1" Type="http://schemas.openxmlformats.org/officeDocument/2006/relationships/font" Target="fonts/RobotoThin-regular.ttf"/><Relationship Id="rId2" Type="http://schemas.openxmlformats.org/officeDocument/2006/relationships/font" Target="fonts/RobotoThin-bold.ttf"/><Relationship Id="rId3" Type="http://schemas.openxmlformats.org/officeDocument/2006/relationships/font" Target="fonts/RobotoThin-italic.ttf"/><Relationship Id="rId4" Type="http://schemas.openxmlformats.org/officeDocument/2006/relationships/font" Target="fonts/RobotoThin-boldItalic.ttf"/><Relationship Id="rId9" Type="http://schemas.openxmlformats.org/officeDocument/2006/relationships/font" Target="fonts/RobotoLight-regular.ttf"/><Relationship Id="rId14" Type="http://schemas.openxmlformats.org/officeDocument/2006/relationships/font" Target="fonts/LexendDeca-bold.ttf"/><Relationship Id="rId5" Type="http://schemas.openxmlformats.org/officeDocument/2006/relationships/font" Target="fonts/RobotoMonoExtraLight-regular.ttf"/><Relationship Id="rId6" Type="http://schemas.openxmlformats.org/officeDocument/2006/relationships/font" Target="fonts/RobotoMonoExtraLight-bold.ttf"/><Relationship Id="rId7" Type="http://schemas.openxmlformats.org/officeDocument/2006/relationships/font" Target="fonts/RobotoMonoExtraLight-italic.ttf"/><Relationship Id="rId8" Type="http://schemas.openxmlformats.org/officeDocument/2006/relationships/font" Target="fonts/RobotoMonoExtraLigh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